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0" w:rsidRPr="00BB0A29" w:rsidRDefault="00BB0A29" w:rsidP="000C7BF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BB0A29"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30063260" wp14:editId="78C74C90">
            <wp:simplePos x="0" y="0"/>
            <wp:positionH relativeFrom="margin">
              <wp:posOffset>2546350</wp:posOffset>
            </wp:positionH>
            <wp:positionV relativeFrom="outsideMargin">
              <wp:posOffset>696595</wp:posOffset>
            </wp:positionV>
            <wp:extent cx="1040130" cy="1040130"/>
            <wp:effectExtent l="0" t="0" r="7620" b="762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Description: http://ocj000-intranet/assets/judiciary-logo---seal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DF0" w:rsidRPr="00BB0A29" w:rsidRDefault="00E27DF0" w:rsidP="000C7BF0">
      <w:pPr>
        <w:spacing w:line="360" w:lineRule="auto"/>
        <w:ind w:left="851" w:hanging="851"/>
        <w:jc w:val="both"/>
        <w:rPr>
          <w:rFonts w:ascii="Arial" w:hAnsi="Arial" w:cs="Arial"/>
          <w:b/>
          <w:lang w:val="en-US"/>
        </w:rPr>
      </w:pPr>
    </w:p>
    <w:p w:rsidR="000C7BF0" w:rsidRPr="00BB0A29" w:rsidRDefault="000C7BF0" w:rsidP="000C7BF0">
      <w:pPr>
        <w:spacing w:line="360" w:lineRule="auto"/>
        <w:ind w:left="851" w:hanging="851"/>
        <w:jc w:val="both"/>
        <w:rPr>
          <w:rFonts w:ascii="Arial" w:hAnsi="Arial" w:cs="Arial"/>
          <w:b/>
          <w:lang w:val="en-US"/>
        </w:rPr>
      </w:pPr>
    </w:p>
    <w:p w:rsidR="001D3310" w:rsidRPr="00BB0A29" w:rsidRDefault="001D3310" w:rsidP="00BB0A29">
      <w:pPr>
        <w:spacing w:line="240" w:lineRule="auto"/>
        <w:ind w:left="851" w:hanging="851"/>
        <w:jc w:val="center"/>
        <w:rPr>
          <w:rFonts w:ascii="Arial" w:hAnsi="Arial" w:cs="Arial"/>
          <w:b/>
          <w:lang w:val="en-US"/>
        </w:rPr>
      </w:pPr>
      <w:r w:rsidRPr="00BB0A29">
        <w:rPr>
          <w:rFonts w:ascii="Arial" w:hAnsi="Arial" w:cs="Arial"/>
          <w:b/>
          <w:lang w:val="en-US"/>
        </w:rPr>
        <w:t>IN THE HIGH COURT OF SOUTH AFRICA</w:t>
      </w:r>
    </w:p>
    <w:p w:rsidR="001D3310" w:rsidRPr="00BB0A29" w:rsidRDefault="001D3310" w:rsidP="00BB0A29">
      <w:pPr>
        <w:spacing w:after="0" w:line="240" w:lineRule="auto"/>
        <w:ind w:left="851" w:hanging="851"/>
        <w:jc w:val="center"/>
        <w:rPr>
          <w:rFonts w:ascii="Arial" w:hAnsi="Arial" w:cs="Arial"/>
          <w:b/>
          <w:lang w:val="en-US"/>
        </w:rPr>
      </w:pPr>
      <w:r w:rsidRPr="00BB0A29">
        <w:rPr>
          <w:rFonts w:ascii="Arial" w:hAnsi="Arial" w:cs="Arial"/>
          <w:b/>
          <w:lang w:val="en-US"/>
        </w:rPr>
        <w:t>GAUTENG DIVISION, PRETORIA</w:t>
      </w:r>
    </w:p>
    <w:p w:rsidR="00D4703E" w:rsidRPr="00BB0A29" w:rsidRDefault="00D4703E" w:rsidP="000C7BF0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1D3310" w:rsidRPr="00BB0A29" w:rsidRDefault="001D3310" w:rsidP="000C7BF0">
      <w:pPr>
        <w:spacing w:line="240" w:lineRule="auto"/>
        <w:jc w:val="both"/>
        <w:rPr>
          <w:rFonts w:ascii="Arial" w:hAnsi="Arial" w:cs="Arial"/>
          <w:i/>
          <w:u w:val="single"/>
          <w:lang w:val="en-GB"/>
        </w:rPr>
      </w:pPr>
      <w:r w:rsidRPr="00BB0A29">
        <w:rPr>
          <w:rFonts w:ascii="Arial" w:hAnsi="Arial" w:cs="Arial"/>
          <w:i/>
          <w:u w:val="single"/>
        </w:rPr>
        <w:t xml:space="preserve">OPPOSED MOTION APPLICATIONS FOR THE WEEK </w:t>
      </w:r>
      <w:r w:rsidR="000C7BF0" w:rsidRPr="00BB0A29">
        <w:rPr>
          <w:rFonts w:ascii="Arial" w:hAnsi="Arial" w:cs="Arial"/>
          <w:i/>
          <w:u w:val="single"/>
        </w:rPr>
        <w:t>09 – 13 MARCH</w:t>
      </w:r>
      <w:r w:rsidR="00E27DF0" w:rsidRPr="00BB0A29">
        <w:rPr>
          <w:rFonts w:ascii="Arial" w:hAnsi="Arial" w:cs="Arial"/>
          <w:i/>
          <w:u w:val="single"/>
        </w:rPr>
        <w:t xml:space="preserve"> 20</w:t>
      </w:r>
      <w:r w:rsidR="000C7BF0" w:rsidRPr="00BB0A29">
        <w:rPr>
          <w:rFonts w:ascii="Arial" w:hAnsi="Arial" w:cs="Arial"/>
          <w:i/>
          <w:u w:val="single"/>
        </w:rPr>
        <w:t>20</w:t>
      </w:r>
    </w:p>
    <w:p w:rsidR="00B91F43" w:rsidRPr="00BB0A29" w:rsidRDefault="00E37C47" w:rsidP="000C7BF0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BB0A29">
        <w:rPr>
          <w:rFonts w:ascii="Arial" w:hAnsi="Arial" w:cs="Arial"/>
          <w:i/>
          <w:u w:val="single"/>
        </w:rPr>
        <w:t xml:space="preserve">ALLOCATED ROLL </w:t>
      </w:r>
      <w:r w:rsidR="001D3310" w:rsidRPr="00BB0A29">
        <w:rPr>
          <w:rFonts w:ascii="Arial" w:hAnsi="Arial" w:cs="Arial"/>
          <w:i/>
          <w:u w:val="single"/>
        </w:rPr>
        <w:t xml:space="preserve">BEFORE THE HONOURABLE MR </w:t>
      </w:r>
      <w:r w:rsidR="009B1591" w:rsidRPr="00BB0A29">
        <w:rPr>
          <w:rFonts w:ascii="Arial" w:hAnsi="Arial" w:cs="Arial"/>
          <w:i/>
          <w:u w:val="single"/>
        </w:rPr>
        <w:t>JUSTICE DE VOS</w:t>
      </w:r>
    </w:p>
    <w:p w:rsidR="000C7BF0" w:rsidRPr="00BB0A29" w:rsidRDefault="000C7BF0" w:rsidP="00BB0A29">
      <w:pPr>
        <w:spacing w:after="0" w:line="360" w:lineRule="auto"/>
        <w:jc w:val="both"/>
        <w:rPr>
          <w:rFonts w:ascii="Arial" w:hAnsi="Arial" w:cs="Arial"/>
        </w:rPr>
      </w:pPr>
    </w:p>
    <w:p w:rsidR="00331D1A" w:rsidRPr="00BB0A29" w:rsidRDefault="00E37C47" w:rsidP="00BB0A2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B0A29">
        <w:rPr>
          <w:rFonts w:ascii="Arial" w:hAnsi="Arial" w:cs="Arial"/>
          <w:sz w:val="18"/>
          <w:szCs w:val="18"/>
        </w:rPr>
        <w:t>Kindly take note of the following:</w:t>
      </w:r>
    </w:p>
    <w:p w:rsidR="00BB0A29" w:rsidRPr="00BB0A29" w:rsidRDefault="00E37C47" w:rsidP="000C7BF0">
      <w:pPr>
        <w:spacing w:line="36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BB0A29">
        <w:rPr>
          <w:rFonts w:ascii="Arial" w:hAnsi="Arial" w:cs="Arial"/>
          <w:sz w:val="18"/>
          <w:szCs w:val="18"/>
        </w:rPr>
        <w:t>1.</w:t>
      </w:r>
      <w:r w:rsidRPr="00BB0A29">
        <w:rPr>
          <w:rFonts w:ascii="Arial" w:hAnsi="Arial" w:cs="Arial"/>
          <w:sz w:val="18"/>
          <w:szCs w:val="18"/>
        </w:rPr>
        <w:tab/>
      </w:r>
      <w:r w:rsidR="000C7BF0" w:rsidRPr="00BB0A29">
        <w:rPr>
          <w:rFonts w:ascii="Arial" w:hAnsi="Arial" w:cs="Arial"/>
          <w:sz w:val="18"/>
          <w:szCs w:val="18"/>
        </w:rPr>
        <w:t xml:space="preserve">A </w:t>
      </w:r>
      <w:r w:rsidRPr="00BB0A29">
        <w:rPr>
          <w:rFonts w:ascii="Arial" w:hAnsi="Arial" w:cs="Arial"/>
          <w:sz w:val="18"/>
          <w:szCs w:val="18"/>
        </w:rPr>
        <w:t xml:space="preserve">general roll call will be held on </w:t>
      </w:r>
      <w:r w:rsidR="0050178E" w:rsidRPr="00BB0A29">
        <w:rPr>
          <w:rFonts w:ascii="Arial" w:hAnsi="Arial" w:cs="Arial"/>
          <w:sz w:val="18"/>
          <w:szCs w:val="18"/>
        </w:rPr>
        <w:t>Monday</w:t>
      </w:r>
      <w:r w:rsidR="000C7BF0" w:rsidRPr="00BB0A29">
        <w:rPr>
          <w:rFonts w:ascii="Arial" w:hAnsi="Arial" w:cs="Arial"/>
          <w:sz w:val="18"/>
          <w:szCs w:val="18"/>
        </w:rPr>
        <w:t>, 09 March 2020 at 10h00</w:t>
      </w:r>
      <w:r w:rsidRPr="00BB0A29">
        <w:rPr>
          <w:rFonts w:ascii="Arial" w:hAnsi="Arial" w:cs="Arial"/>
          <w:sz w:val="18"/>
          <w:szCs w:val="18"/>
        </w:rPr>
        <w:t xml:space="preserve">.  </w:t>
      </w:r>
      <w:r w:rsidR="00BB0A29" w:rsidRPr="00BB0A29">
        <w:rPr>
          <w:rFonts w:ascii="Arial" w:hAnsi="Arial" w:cs="Arial"/>
          <w:sz w:val="18"/>
          <w:szCs w:val="18"/>
        </w:rPr>
        <w:t xml:space="preserve"> M</w:t>
      </w:r>
      <w:r w:rsidR="00BB0A29" w:rsidRPr="00BB0A29">
        <w:rPr>
          <w:rFonts w:ascii="Arial" w:hAnsi="Arial" w:cs="Arial"/>
          <w:sz w:val="18"/>
          <w:szCs w:val="18"/>
        </w:rPr>
        <w:t xml:space="preserve">atters will </w:t>
      </w:r>
      <w:r w:rsidR="00BB0A29" w:rsidRPr="00BB0A29">
        <w:rPr>
          <w:rFonts w:ascii="Arial" w:hAnsi="Arial" w:cs="Arial"/>
          <w:sz w:val="18"/>
          <w:szCs w:val="18"/>
        </w:rPr>
        <w:t xml:space="preserve">either </w:t>
      </w:r>
      <w:r w:rsidR="00BB0A29" w:rsidRPr="00BB0A29">
        <w:rPr>
          <w:rFonts w:ascii="Arial" w:hAnsi="Arial" w:cs="Arial"/>
          <w:sz w:val="18"/>
          <w:szCs w:val="18"/>
        </w:rPr>
        <w:t xml:space="preserve">be </w:t>
      </w:r>
      <w:r w:rsidR="00BB0A29" w:rsidRPr="00BB0A29">
        <w:rPr>
          <w:rFonts w:ascii="Arial" w:hAnsi="Arial" w:cs="Arial"/>
          <w:sz w:val="18"/>
          <w:szCs w:val="18"/>
        </w:rPr>
        <w:t xml:space="preserve">finalised or </w:t>
      </w:r>
      <w:r w:rsidR="00BB0A29" w:rsidRPr="00BB0A29">
        <w:rPr>
          <w:rFonts w:ascii="Arial" w:hAnsi="Arial" w:cs="Arial"/>
          <w:sz w:val="18"/>
          <w:szCs w:val="18"/>
        </w:rPr>
        <w:t xml:space="preserve">allocated to a specific date for hearing on Monday morning.  </w:t>
      </w:r>
    </w:p>
    <w:p w:rsidR="000C7BF0" w:rsidRPr="00BB0A29" w:rsidRDefault="00BB0A29" w:rsidP="000C7BF0">
      <w:pPr>
        <w:spacing w:line="36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BB0A29">
        <w:rPr>
          <w:rFonts w:ascii="Arial" w:hAnsi="Arial" w:cs="Arial"/>
          <w:sz w:val="18"/>
          <w:szCs w:val="18"/>
        </w:rPr>
        <w:t xml:space="preserve">2. </w:t>
      </w:r>
      <w:r w:rsidRPr="00BB0A29">
        <w:rPr>
          <w:rFonts w:ascii="Arial" w:hAnsi="Arial" w:cs="Arial"/>
          <w:sz w:val="18"/>
          <w:szCs w:val="18"/>
        </w:rPr>
        <w:tab/>
        <w:t>The arrangement in [1] above does not apply to the matters which have already been specifically allocated</w:t>
      </w:r>
      <w:bookmarkStart w:id="0" w:name="_GoBack"/>
      <w:bookmarkEnd w:id="0"/>
      <w:r w:rsidRPr="00BB0A29">
        <w:rPr>
          <w:rFonts w:ascii="Arial" w:hAnsi="Arial" w:cs="Arial"/>
          <w:sz w:val="18"/>
          <w:szCs w:val="18"/>
        </w:rPr>
        <w:t xml:space="preserve"> as indicated on this roll.  </w:t>
      </w:r>
      <w:r w:rsidR="00E37C47" w:rsidRPr="00BB0A29">
        <w:rPr>
          <w:rFonts w:ascii="Arial" w:hAnsi="Arial" w:cs="Arial"/>
          <w:sz w:val="18"/>
          <w:szCs w:val="18"/>
        </w:rPr>
        <w:t xml:space="preserve"> </w:t>
      </w:r>
    </w:p>
    <w:p w:rsidR="00E37C47" w:rsidRPr="00BB0A29" w:rsidRDefault="00BB0A29" w:rsidP="000C7BF0">
      <w:pPr>
        <w:spacing w:line="36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BB0A29">
        <w:rPr>
          <w:rFonts w:ascii="Arial" w:hAnsi="Arial" w:cs="Arial"/>
          <w:sz w:val="18"/>
          <w:szCs w:val="18"/>
        </w:rPr>
        <w:t>3</w:t>
      </w:r>
      <w:r w:rsidR="000C7BF0" w:rsidRPr="00BB0A29">
        <w:rPr>
          <w:rFonts w:ascii="Arial" w:hAnsi="Arial" w:cs="Arial"/>
          <w:sz w:val="18"/>
          <w:szCs w:val="18"/>
        </w:rPr>
        <w:t>.</w:t>
      </w:r>
      <w:r w:rsidR="000C7BF0" w:rsidRPr="00BB0A29">
        <w:rPr>
          <w:rFonts w:ascii="Arial" w:hAnsi="Arial" w:cs="Arial"/>
          <w:sz w:val="18"/>
          <w:szCs w:val="18"/>
        </w:rPr>
        <w:tab/>
        <w:t>M</w:t>
      </w:r>
      <w:r w:rsidR="00110CD8" w:rsidRPr="00BB0A29">
        <w:rPr>
          <w:rFonts w:ascii="Arial" w:hAnsi="Arial" w:cs="Arial"/>
          <w:sz w:val="18"/>
          <w:szCs w:val="18"/>
        </w:rPr>
        <w:t xml:space="preserve">atters which are not finalised on the specific day allocated </w:t>
      </w:r>
      <w:r w:rsidR="000C7BF0" w:rsidRPr="00BB0A29">
        <w:rPr>
          <w:rFonts w:ascii="Arial" w:hAnsi="Arial" w:cs="Arial"/>
          <w:sz w:val="18"/>
          <w:szCs w:val="18"/>
        </w:rPr>
        <w:t xml:space="preserve">to it </w:t>
      </w:r>
      <w:r w:rsidR="00110CD8" w:rsidRPr="00BB0A29">
        <w:rPr>
          <w:rFonts w:ascii="Arial" w:hAnsi="Arial" w:cs="Arial"/>
          <w:sz w:val="18"/>
          <w:szCs w:val="18"/>
        </w:rPr>
        <w:t xml:space="preserve">will roll </w:t>
      </w:r>
      <w:r w:rsidR="00A63C88" w:rsidRPr="00BB0A29">
        <w:rPr>
          <w:rFonts w:ascii="Arial" w:hAnsi="Arial" w:cs="Arial"/>
          <w:sz w:val="18"/>
          <w:szCs w:val="18"/>
        </w:rPr>
        <w:t xml:space="preserve">over to </w:t>
      </w:r>
      <w:r w:rsidR="00F26E7F" w:rsidRPr="00BB0A29">
        <w:rPr>
          <w:rFonts w:ascii="Arial" w:hAnsi="Arial" w:cs="Arial"/>
          <w:sz w:val="18"/>
          <w:szCs w:val="18"/>
        </w:rPr>
        <w:t>another day during the week</w:t>
      </w:r>
      <w:r w:rsidR="0050178E" w:rsidRPr="00BB0A29">
        <w:rPr>
          <w:rFonts w:ascii="Arial" w:hAnsi="Arial" w:cs="Arial"/>
          <w:sz w:val="18"/>
          <w:szCs w:val="18"/>
        </w:rPr>
        <w:t xml:space="preserve"> for</w:t>
      </w:r>
      <w:r w:rsidR="00110CD8" w:rsidRPr="00BB0A29">
        <w:rPr>
          <w:rFonts w:ascii="Arial" w:hAnsi="Arial" w:cs="Arial"/>
          <w:sz w:val="18"/>
          <w:szCs w:val="18"/>
        </w:rPr>
        <w:t xml:space="preserve"> finalisation.  </w:t>
      </w:r>
      <w:r w:rsidR="0050178E" w:rsidRPr="00BB0A29">
        <w:rPr>
          <w:rFonts w:ascii="Arial" w:hAnsi="Arial" w:cs="Arial"/>
          <w:sz w:val="18"/>
          <w:szCs w:val="18"/>
        </w:rPr>
        <w:t>You</w:t>
      </w:r>
      <w:r w:rsidR="00110CD8" w:rsidRPr="00BB0A29">
        <w:rPr>
          <w:rFonts w:ascii="Arial" w:hAnsi="Arial" w:cs="Arial"/>
          <w:sz w:val="18"/>
          <w:szCs w:val="18"/>
        </w:rPr>
        <w:t xml:space="preserve"> are requested to take note of this arrangement and ensure </w:t>
      </w:r>
      <w:r w:rsidR="0050178E" w:rsidRPr="00BB0A29">
        <w:rPr>
          <w:rFonts w:ascii="Arial" w:hAnsi="Arial" w:cs="Arial"/>
          <w:sz w:val="18"/>
          <w:szCs w:val="18"/>
        </w:rPr>
        <w:t xml:space="preserve">your </w:t>
      </w:r>
      <w:r w:rsidR="00110CD8" w:rsidRPr="00BB0A29">
        <w:rPr>
          <w:rFonts w:ascii="Arial" w:hAnsi="Arial" w:cs="Arial"/>
          <w:sz w:val="18"/>
          <w:szCs w:val="18"/>
        </w:rPr>
        <w:t xml:space="preserve">availability </w:t>
      </w:r>
      <w:r w:rsidR="0004523E" w:rsidRPr="00BB0A29">
        <w:rPr>
          <w:rFonts w:ascii="Arial" w:hAnsi="Arial" w:cs="Arial"/>
          <w:sz w:val="18"/>
          <w:szCs w:val="18"/>
        </w:rPr>
        <w:t xml:space="preserve">should it be necessary.  </w:t>
      </w:r>
    </w:p>
    <w:p w:rsidR="00E37C47" w:rsidRPr="00BB0A29" w:rsidRDefault="00BB0A29" w:rsidP="000C7BF0">
      <w:pPr>
        <w:spacing w:line="36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B0A29">
        <w:rPr>
          <w:rFonts w:ascii="Arial" w:hAnsi="Arial" w:cs="Arial"/>
          <w:sz w:val="18"/>
          <w:szCs w:val="18"/>
        </w:rPr>
        <w:t>4</w:t>
      </w:r>
      <w:r w:rsidR="00E37C47" w:rsidRPr="00BB0A29">
        <w:rPr>
          <w:rFonts w:ascii="Arial" w:hAnsi="Arial" w:cs="Arial"/>
          <w:sz w:val="18"/>
          <w:szCs w:val="18"/>
        </w:rPr>
        <w:t>.</w:t>
      </w:r>
      <w:r w:rsidR="00E37C47" w:rsidRPr="00BB0A29">
        <w:rPr>
          <w:rFonts w:ascii="Arial" w:hAnsi="Arial" w:cs="Arial"/>
          <w:sz w:val="18"/>
          <w:szCs w:val="18"/>
        </w:rPr>
        <w:tab/>
      </w:r>
      <w:r w:rsidR="000C7BF0" w:rsidRPr="00BB0A29">
        <w:rPr>
          <w:rFonts w:ascii="Arial" w:hAnsi="Arial" w:cs="Arial"/>
          <w:sz w:val="18"/>
          <w:szCs w:val="18"/>
        </w:rPr>
        <w:t xml:space="preserve">In the case where </w:t>
      </w:r>
      <w:r w:rsidR="00C824F2" w:rsidRPr="00BB0A29">
        <w:rPr>
          <w:rFonts w:ascii="Arial" w:hAnsi="Arial" w:cs="Arial"/>
          <w:sz w:val="18"/>
          <w:szCs w:val="18"/>
        </w:rPr>
        <w:t xml:space="preserve">a matter </w:t>
      </w:r>
      <w:r w:rsidR="00110CD8" w:rsidRPr="00BB0A29">
        <w:rPr>
          <w:rFonts w:ascii="Arial" w:hAnsi="Arial" w:cs="Arial"/>
          <w:sz w:val="18"/>
          <w:szCs w:val="18"/>
        </w:rPr>
        <w:t xml:space="preserve">has </w:t>
      </w:r>
      <w:r w:rsidR="00607522" w:rsidRPr="00BB0A29">
        <w:rPr>
          <w:rFonts w:ascii="Arial" w:hAnsi="Arial" w:cs="Arial"/>
          <w:sz w:val="18"/>
          <w:szCs w:val="18"/>
        </w:rPr>
        <w:t>become</w:t>
      </w:r>
      <w:r w:rsidR="00C824F2" w:rsidRPr="00BB0A29">
        <w:rPr>
          <w:rFonts w:ascii="Arial" w:hAnsi="Arial" w:cs="Arial"/>
          <w:sz w:val="18"/>
          <w:szCs w:val="18"/>
        </w:rPr>
        <w:t xml:space="preserve"> settled </w:t>
      </w:r>
      <w:r w:rsidR="00D51358" w:rsidRPr="00BB0A29">
        <w:rPr>
          <w:rFonts w:ascii="Arial" w:hAnsi="Arial" w:cs="Arial"/>
          <w:sz w:val="18"/>
          <w:szCs w:val="18"/>
        </w:rPr>
        <w:t xml:space="preserve">or </w:t>
      </w:r>
      <w:r w:rsidR="00E37C47" w:rsidRPr="00BB0A29">
        <w:rPr>
          <w:rFonts w:ascii="Arial" w:hAnsi="Arial" w:cs="Arial"/>
          <w:sz w:val="18"/>
          <w:szCs w:val="18"/>
        </w:rPr>
        <w:t xml:space="preserve">the parties </w:t>
      </w:r>
      <w:r w:rsidR="00110CD8" w:rsidRPr="00BB0A29">
        <w:rPr>
          <w:rFonts w:ascii="Arial" w:hAnsi="Arial" w:cs="Arial"/>
          <w:sz w:val="18"/>
          <w:szCs w:val="18"/>
        </w:rPr>
        <w:t xml:space="preserve">have agreed </w:t>
      </w:r>
      <w:r w:rsidR="00E37C47" w:rsidRPr="00BB0A29">
        <w:rPr>
          <w:rFonts w:ascii="Arial" w:hAnsi="Arial" w:cs="Arial"/>
          <w:sz w:val="18"/>
          <w:szCs w:val="18"/>
        </w:rPr>
        <w:t xml:space="preserve">to </w:t>
      </w:r>
      <w:r w:rsidR="00110CD8" w:rsidRPr="00BB0A29">
        <w:rPr>
          <w:rFonts w:ascii="Arial" w:hAnsi="Arial" w:cs="Arial"/>
          <w:sz w:val="18"/>
          <w:szCs w:val="18"/>
        </w:rPr>
        <w:t xml:space="preserve">a </w:t>
      </w:r>
      <w:r w:rsidR="00E37C47" w:rsidRPr="00BB0A29">
        <w:rPr>
          <w:rFonts w:ascii="Arial" w:hAnsi="Arial" w:cs="Arial"/>
          <w:sz w:val="18"/>
          <w:szCs w:val="18"/>
        </w:rPr>
        <w:t>postpone</w:t>
      </w:r>
      <w:r w:rsidR="00110CD8" w:rsidRPr="00BB0A29">
        <w:rPr>
          <w:rFonts w:ascii="Arial" w:hAnsi="Arial" w:cs="Arial"/>
          <w:sz w:val="18"/>
          <w:szCs w:val="18"/>
        </w:rPr>
        <w:t>ment</w:t>
      </w:r>
      <w:r w:rsidR="0004523E" w:rsidRPr="00BB0A29">
        <w:rPr>
          <w:rFonts w:ascii="Arial" w:hAnsi="Arial" w:cs="Arial"/>
          <w:sz w:val="18"/>
          <w:szCs w:val="18"/>
        </w:rPr>
        <w:t>;</w:t>
      </w:r>
      <w:r w:rsidR="00E37C47" w:rsidRPr="00BB0A29">
        <w:rPr>
          <w:rFonts w:ascii="Arial" w:hAnsi="Arial" w:cs="Arial"/>
          <w:sz w:val="18"/>
          <w:szCs w:val="18"/>
        </w:rPr>
        <w:t xml:space="preserve"> or the application will not proceed on the allocated date for whatever reason, electronic notification of same may be sent to </w:t>
      </w:r>
      <w:hyperlink r:id="rId10" w:history="1">
        <w:r w:rsidR="00E37C47" w:rsidRPr="00BB0A29">
          <w:rPr>
            <w:rStyle w:val="Hyperlink"/>
            <w:rFonts w:ascii="Arial" w:hAnsi="Arial" w:cs="Arial"/>
            <w:sz w:val="18"/>
            <w:szCs w:val="18"/>
          </w:rPr>
          <w:t>zjansen@judiciary.org.za</w:t>
        </w:r>
      </w:hyperlink>
      <w:r w:rsidR="00110CD8" w:rsidRPr="00BB0A29">
        <w:rPr>
          <w:rFonts w:ascii="Arial" w:hAnsi="Arial" w:cs="Arial"/>
          <w:sz w:val="18"/>
          <w:szCs w:val="18"/>
        </w:rPr>
        <w:t>.</w:t>
      </w:r>
      <w:r w:rsidR="00E37C47" w:rsidRPr="00BB0A29">
        <w:rPr>
          <w:rFonts w:ascii="Arial" w:hAnsi="Arial" w:cs="Arial"/>
          <w:sz w:val="18"/>
          <w:szCs w:val="18"/>
        </w:rPr>
        <w:t xml:space="preserve">  </w:t>
      </w:r>
    </w:p>
    <w:p w:rsidR="00110CD8" w:rsidRPr="00BB0A29" w:rsidRDefault="00BB0A29" w:rsidP="000C7BF0">
      <w:pPr>
        <w:spacing w:line="36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BB0A29">
        <w:rPr>
          <w:rFonts w:ascii="Arial" w:hAnsi="Arial" w:cs="Arial"/>
          <w:sz w:val="18"/>
          <w:szCs w:val="18"/>
        </w:rPr>
        <w:t>5</w:t>
      </w:r>
      <w:r w:rsidR="00E37C47" w:rsidRPr="00BB0A29">
        <w:rPr>
          <w:rFonts w:ascii="Arial" w:hAnsi="Arial" w:cs="Arial"/>
          <w:sz w:val="18"/>
          <w:szCs w:val="18"/>
        </w:rPr>
        <w:t>.</w:t>
      </w:r>
      <w:r w:rsidR="00E37C47" w:rsidRPr="00BB0A29">
        <w:rPr>
          <w:rFonts w:ascii="Arial" w:hAnsi="Arial" w:cs="Arial"/>
          <w:sz w:val="18"/>
          <w:szCs w:val="18"/>
        </w:rPr>
        <w:tab/>
      </w:r>
      <w:r w:rsidR="00110CD8" w:rsidRPr="00BB0A29">
        <w:rPr>
          <w:rFonts w:ascii="Arial" w:hAnsi="Arial" w:cs="Arial"/>
          <w:sz w:val="18"/>
          <w:szCs w:val="18"/>
        </w:rPr>
        <w:t>All h</w:t>
      </w:r>
      <w:r w:rsidR="00E37C47" w:rsidRPr="00BB0A29">
        <w:rPr>
          <w:rFonts w:ascii="Arial" w:hAnsi="Arial" w:cs="Arial"/>
          <w:sz w:val="18"/>
          <w:szCs w:val="18"/>
        </w:rPr>
        <w:t>eads of argument</w:t>
      </w:r>
      <w:r w:rsidR="00110CD8" w:rsidRPr="00BB0A29">
        <w:rPr>
          <w:rFonts w:ascii="Arial" w:hAnsi="Arial" w:cs="Arial"/>
          <w:sz w:val="18"/>
          <w:szCs w:val="18"/>
        </w:rPr>
        <w:t>, as they appear on the court file and which have been filed timeously, should</w:t>
      </w:r>
      <w:r w:rsidR="00E37C47" w:rsidRPr="00BB0A29">
        <w:rPr>
          <w:rFonts w:ascii="Arial" w:hAnsi="Arial" w:cs="Arial"/>
          <w:sz w:val="18"/>
          <w:szCs w:val="18"/>
        </w:rPr>
        <w:t xml:space="preserve"> be </w:t>
      </w:r>
      <w:r w:rsidR="00607522" w:rsidRPr="00BB0A29">
        <w:rPr>
          <w:rFonts w:ascii="Arial" w:hAnsi="Arial" w:cs="Arial"/>
          <w:sz w:val="18"/>
          <w:szCs w:val="18"/>
        </w:rPr>
        <w:t xml:space="preserve">forwarded </w:t>
      </w:r>
      <w:r w:rsidR="00E37C47" w:rsidRPr="00BB0A29">
        <w:rPr>
          <w:rFonts w:ascii="Arial" w:hAnsi="Arial" w:cs="Arial"/>
          <w:sz w:val="18"/>
          <w:szCs w:val="18"/>
        </w:rPr>
        <w:t xml:space="preserve">electronically </w:t>
      </w:r>
      <w:r w:rsidR="000C7BF0" w:rsidRPr="00BB0A29">
        <w:rPr>
          <w:rFonts w:ascii="Arial" w:hAnsi="Arial" w:cs="Arial"/>
          <w:sz w:val="18"/>
          <w:szCs w:val="18"/>
        </w:rPr>
        <w:t xml:space="preserve">in </w:t>
      </w:r>
      <w:r w:rsidR="00110CD8" w:rsidRPr="00BB0A29">
        <w:rPr>
          <w:rFonts w:ascii="Arial" w:hAnsi="Arial" w:cs="Arial"/>
          <w:sz w:val="18"/>
          <w:szCs w:val="18"/>
        </w:rPr>
        <w:t>MS Word</w:t>
      </w:r>
      <w:r w:rsidR="000C7BF0" w:rsidRPr="00BB0A29">
        <w:rPr>
          <w:rFonts w:ascii="Arial" w:hAnsi="Arial" w:cs="Arial"/>
          <w:sz w:val="18"/>
          <w:szCs w:val="18"/>
        </w:rPr>
        <w:t xml:space="preserve"> (.</w:t>
      </w:r>
      <w:proofErr w:type="spellStart"/>
      <w:r w:rsidR="000C7BF0" w:rsidRPr="00BB0A29">
        <w:rPr>
          <w:rFonts w:ascii="Arial" w:hAnsi="Arial" w:cs="Arial"/>
          <w:sz w:val="18"/>
          <w:szCs w:val="18"/>
        </w:rPr>
        <w:t>docx</w:t>
      </w:r>
      <w:proofErr w:type="spellEnd"/>
      <w:r w:rsidR="000C7BF0" w:rsidRPr="00BB0A29">
        <w:rPr>
          <w:rFonts w:ascii="Arial" w:hAnsi="Arial" w:cs="Arial"/>
          <w:sz w:val="18"/>
          <w:szCs w:val="18"/>
        </w:rPr>
        <w:t>)</w:t>
      </w:r>
      <w:r w:rsidR="00110CD8" w:rsidRPr="00BB0A29">
        <w:rPr>
          <w:rFonts w:ascii="Arial" w:hAnsi="Arial" w:cs="Arial"/>
          <w:sz w:val="18"/>
          <w:szCs w:val="18"/>
        </w:rPr>
        <w:t xml:space="preserve"> format</w:t>
      </w:r>
      <w:r w:rsidR="00E37C47" w:rsidRPr="00BB0A29">
        <w:rPr>
          <w:rFonts w:ascii="Arial" w:hAnsi="Arial" w:cs="Arial"/>
          <w:sz w:val="18"/>
          <w:szCs w:val="18"/>
        </w:rPr>
        <w:t xml:space="preserve"> to </w:t>
      </w:r>
      <w:hyperlink r:id="rId11" w:history="1">
        <w:r w:rsidR="00E37C47" w:rsidRPr="00BB0A29">
          <w:rPr>
            <w:rStyle w:val="Hyperlink"/>
            <w:rFonts w:ascii="Arial" w:hAnsi="Arial" w:cs="Arial"/>
            <w:sz w:val="18"/>
            <w:szCs w:val="18"/>
          </w:rPr>
          <w:t>zjansen@judiciary.org.za</w:t>
        </w:r>
      </w:hyperlink>
      <w:r w:rsidR="00E37C47" w:rsidRPr="00BB0A29">
        <w:rPr>
          <w:rFonts w:ascii="Arial" w:hAnsi="Arial" w:cs="Arial"/>
          <w:sz w:val="18"/>
          <w:szCs w:val="18"/>
        </w:rPr>
        <w:t xml:space="preserve">.  </w:t>
      </w:r>
      <w:r w:rsidR="00110CD8" w:rsidRPr="00BB0A29">
        <w:rPr>
          <w:rFonts w:ascii="Arial" w:hAnsi="Arial" w:cs="Arial"/>
          <w:sz w:val="18"/>
          <w:szCs w:val="18"/>
        </w:rPr>
        <w:t>No additional heads of argument will be accepted</w:t>
      </w:r>
      <w:r w:rsidR="0050178E" w:rsidRPr="00BB0A29">
        <w:rPr>
          <w:rFonts w:ascii="Arial" w:hAnsi="Arial" w:cs="Arial"/>
          <w:sz w:val="18"/>
          <w:szCs w:val="18"/>
        </w:rPr>
        <w:t xml:space="preserve"> unless specific arrangements have been made to the effect.</w:t>
      </w:r>
      <w:r w:rsidR="00110CD8" w:rsidRPr="00BB0A29">
        <w:rPr>
          <w:rFonts w:ascii="Arial" w:hAnsi="Arial" w:cs="Arial"/>
          <w:sz w:val="18"/>
          <w:szCs w:val="18"/>
        </w:rPr>
        <w:t xml:space="preserve">  </w:t>
      </w:r>
    </w:p>
    <w:p w:rsidR="00BB0A29" w:rsidRPr="00BB0A29" w:rsidRDefault="00BB0A29" w:rsidP="000C7BF0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446DF5" w:rsidRPr="00BB0A29" w:rsidRDefault="00446DF5" w:rsidP="000C7BF0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BB0A29">
        <w:rPr>
          <w:rFonts w:ascii="Arial" w:hAnsi="Arial" w:cs="Arial"/>
          <w:b/>
          <w:lang w:val="en-GB"/>
        </w:rPr>
        <w:t xml:space="preserve">ON </w:t>
      </w:r>
      <w:r w:rsidR="000C7BF0" w:rsidRPr="00BB0A29">
        <w:rPr>
          <w:rFonts w:ascii="Arial" w:hAnsi="Arial" w:cs="Arial"/>
          <w:b/>
          <w:lang w:val="en-GB"/>
        </w:rPr>
        <w:t>MONDAY 09 MARCH 2020</w:t>
      </w:r>
      <w:r w:rsidRPr="00BB0A29">
        <w:rPr>
          <w:rFonts w:ascii="Arial" w:hAnsi="Arial" w:cs="Arial"/>
          <w:b/>
          <w:lang w:val="en-GB"/>
        </w:rPr>
        <w:t xml:space="preserve"> AT 10h00: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1484"/>
        <w:gridCol w:w="7588"/>
      </w:tblGrid>
      <w:tr w:rsidR="00737495" w:rsidRPr="00BB0A29" w:rsidTr="000C7BF0">
        <w:tc>
          <w:tcPr>
            <w:tcW w:w="1242" w:type="dxa"/>
            <w:shd w:val="clear" w:color="auto" w:fill="8DB3E2" w:themeFill="text2" w:themeFillTint="66"/>
          </w:tcPr>
          <w:p w:rsidR="00737495" w:rsidRPr="00BB0A29" w:rsidRDefault="00737495" w:rsidP="000C7BF0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 xml:space="preserve">Roll No. 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:rsidR="00737495" w:rsidRPr="00BB0A29" w:rsidRDefault="00737495" w:rsidP="000C7BF0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 xml:space="preserve">Case No. </w:t>
            </w:r>
          </w:p>
        </w:tc>
        <w:tc>
          <w:tcPr>
            <w:tcW w:w="7588" w:type="dxa"/>
            <w:shd w:val="clear" w:color="auto" w:fill="8DB3E2" w:themeFill="text2" w:themeFillTint="66"/>
          </w:tcPr>
          <w:p w:rsidR="00737495" w:rsidRPr="00BB0A29" w:rsidRDefault="00737495" w:rsidP="000C7BF0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>Parties</w:t>
            </w:r>
          </w:p>
        </w:tc>
      </w:tr>
      <w:tr w:rsidR="00737495" w:rsidRPr="00BB0A29" w:rsidTr="000C7BF0">
        <w:trPr>
          <w:cantSplit/>
        </w:trPr>
        <w:tc>
          <w:tcPr>
            <w:tcW w:w="1242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1484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45664/2007</w:t>
            </w:r>
          </w:p>
        </w:tc>
        <w:tc>
          <w:tcPr>
            <w:tcW w:w="7588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 xml:space="preserve">Erf 1083 </w:t>
            </w:r>
            <w:proofErr w:type="spellStart"/>
            <w:r w:rsidRPr="00BB0A29">
              <w:rPr>
                <w:rFonts w:ascii="Arial" w:hAnsi="Arial" w:cs="Arial"/>
                <w:lang w:val="en-GB"/>
              </w:rPr>
              <w:t>Rooihuiskraal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(Pty) Ltd</w:t>
            </w:r>
          </w:p>
          <w:p w:rsidR="00F9010A" w:rsidRPr="00BB0A29" w:rsidRDefault="00F9010A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F9010A" w:rsidRPr="00BB0A29" w:rsidRDefault="000C7BF0" w:rsidP="000C7BF0">
            <w:pPr>
              <w:tabs>
                <w:tab w:val="left" w:pos="3909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 xml:space="preserve">Linda K.M. Pule </w:t>
            </w:r>
          </w:p>
          <w:p w:rsidR="000C7BF0" w:rsidRPr="00BB0A29" w:rsidRDefault="000C7BF0" w:rsidP="000C7BF0">
            <w:pPr>
              <w:tabs>
                <w:tab w:val="left" w:pos="3909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9010A" w:rsidRPr="00BB0A29" w:rsidTr="000C7BF0">
        <w:trPr>
          <w:cantSplit/>
        </w:trPr>
        <w:tc>
          <w:tcPr>
            <w:tcW w:w="1242" w:type="dxa"/>
          </w:tcPr>
          <w:p w:rsidR="00F9010A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03</w:t>
            </w:r>
          </w:p>
        </w:tc>
        <w:tc>
          <w:tcPr>
            <w:tcW w:w="1484" w:type="dxa"/>
          </w:tcPr>
          <w:p w:rsidR="00F9010A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49181/2014</w:t>
            </w:r>
          </w:p>
        </w:tc>
        <w:tc>
          <w:tcPr>
            <w:tcW w:w="7588" w:type="dxa"/>
          </w:tcPr>
          <w:p w:rsidR="00F9010A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Mpendulo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E. </w:t>
            </w:r>
            <w:proofErr w:type="spellStart"/>
            <w:r w:rsidRPr="00BB0A29">
              <w:rPr>
                <w:rFonts w:ascii="Arial" w:hAnsi="Arial" w:cs="Arial"/>
                <w:lang w:val="en-GB"/>
              </w:rPr>
              <w:t>Zhikali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+ 1 </w:t>
            </w:r>
          </w:p>
          <w:p w:rsidR="00F9010A" w:rsidRPr="00BB0A29" w:rsidRDefault="00F9010A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0C7BF0" w:rsidRPr="00BB0A29" w:rsidRDefault="000C7BF0" w:rsidP="000C7BF0">
            <w:pPr>
              <w:tabs>
                <w:tab w:val="left" w:pos="3861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Valerie A. van der Linden + 2</w:t>
            </w:r>
            <w:r w:rsidR="00F9010A" w:rsidRPr="00BB0A29">
              <w:rPr>
                <w:rFonts w:ascii="Arial" w:hAnsi="Arial" w:cs="Arial"/>
                <w:lang w:val="en-GB"/>
              </w:rPr>
              <w:t xml:space="preserve">    </w:t>
            </w:r>
          </w:p>
          <w:p w:rsidR="000C7BF0" w:rsidRPr="00BB0A29" w:rsidRDefault="00F9010A" w:rsidP="000C7BF0">
            <w:pPr>
              <w:tabs>
                <w:tab w:val="left" w:pos="3861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 xml:space="preserve">      </w:t>
            </w:r>
            <w:r w:rsidR="000C7BF0" w:rsidRPr="00BB0A29">
              <w:rPr>
                <w:rFonts w:ascii="Arial" w:hAnsi="Arial" w:cs="Arial"/>
                <w:lang w:val="en-GB"/>
              </w:rPr>
              <w:t xml:space="preserve">                               </w:t>
            </w:r>
          </w:p>
        </w:tc>
      </w:tr>
      <w:tr w:rsidR="00737495" w:rsidRPr="00BB0A29" w:rsidTr="000C7BF0">
        <w:trPr>
          <w:cantSplit/>
        </w:trPr>
        <w:tc>
          <w:tcPr>
            <w:tcW w:w="1242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lastRenderedPageBreak/>
              <w:t>06</w:t>
            </w:r>
          </w:p>
        </w:tc>
        <w:tc>
          <w:tcPr>
            <w:tcW w:w="1484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97814/2016</w:t>
            </w:r>
          </w:p>
        </w:tc>
        <w:tc>
          <w:tcPr>
            <w:tcW w:w="7588" w:type="dxa"/>
          </w:tcPr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Sandros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C. </w:t>
            </w:r>
            <w:proofErr w:type="spellStart"/>
            <w:r w:rsidRPr="00BB0A29">
              <w:rPr>
                <w:rFonts w:ascii="Arial" w:hAnsi="Arial" w:cs="Arial"/>
                <w:lang w:val="en-GB"/>
              </w:rPr>
              <w:t>Ubisi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+ 173 </w:t>
            </w:r>
          </w:p>
          <w:p w:rsidR="00737495" w:rsidRPr="00BB0A29" w:rsidRDefault="00BF40D2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 xml:space="preserve">Government Employees Pension Fund + 2 </w:t>
            </w:r>
            <w:r w:rsidR="00737495" w:rsidRPr="00BB0A29">
              <w:rPr>
                <w:rFonts w:ascii="Arial" w:hAnsi="Arial" w:cs="Arial"/>
                <w:lang w:val="en-GB"/>
              </w:rPr>
              <w:t xml:space="preserve"> </w:t>
            </w:r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37495" w:rsidRPr="00BB0A29" w:rsidTr="000C7BF0">
        <w:trPr>
          <w:cantSplit/>
        </w:trPr>
        <w:tc>
          <w:tcPr>
            <w:tcW w:w="1242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1484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71477/2018</w:t>
            </w:r>
          </w:p>
        </w:tc>
        <w:tc>
          <w:tcPr>
            <w:tcW w:w="7588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Magolego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&amp; Sons Construction CC</w:t>
            </w:r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BF40D2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Jabulani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Ngobeni + 1 </w:t>
            </w:r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37495" w:rsidRPr="00BB0A29" w:rsidTr="000C7BF0">
        <w:trPr>
          <w:cantSplit/>
        </w:trPr>
        <w:tc>
          <w:tcPr>
            <w:tcW w:w="1242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1484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85943/2019</w:t>
            </w:r>
          </w:p>
        </w:tc>
        <w:tc>
          <w:tcPr>
            <w:tcW w:w="7588" w:type="dxa"/>
          </w:tcPr>
          <w:p w:rsidR="00737495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Dimakatso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B0A29">
              <w:rPr>
                <w:rFonts w:ascii="Arial" w:hAnsi="Arial" w:cs="Arial"/>
                <w:lang w:val="en-GB"/>
              </w:rPr>
              <w:t>Mpane</w:t>
            </w:r>
            <w:proofErr w:type="spellEnd"/>
          </w:p>
          <w:p w:rsidR="00BF40D2" w:rsidRPr="00BB0A29" w:rsidRDefault="00BF40D2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BF40D2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Tiro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N. </w:t>
            </w:r>
            <w:proofErr w:type="spellStart"/>
            <w:r w:rsidRPr="00BB0A29">
              <w:rPr>
                <w:rFonts w:ascii="Arial" w:hAnsi="Arial" w:cs="Arial"/>
                <w:lang w:val="en-GB"/>
              </w:rPr>
              <w:t>Mpane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+ 2 </w:t>
            </w:r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D51358" w:rsidRPr="00BB0A29" w:rsidRDefault="00D51358" w:rsidP="000C7BF0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446DF5" w:rsidRPr="00BB0A29" w:rsidRDefault="00446DF5" w:rsidP="000C7BF0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BB0A29">
        <w:rPr>
          <w:rFonts w:ascii="Arial" w:hAnsi="Arial" w:cs="Arial"/>
          <w:b/>
          <w:lang w:val="en-GB"/>
        </w:rPr>
        <w:t xml:space="preserve">ON </w:t>
      </w:r>
      <w:r w:rsidR="000C7BF0" w:rsidRPr="00BB0A29">
        <w:rPr>
          <w:rFonts w:ascii="Arial" w:hAnsi="Arial" w:cs="Arial"/>
          <w:b/>
          <w:lang w:val="en-GB"/>
        </w:rPr>
        <w:t>TUESDAY 10 MARCH 2020</w:t>
      </w:r>
      <w:r w:rsidR="00DF2849" w:rsidRPr="00BB0A29">
        <w:rPr>
          <w:rFonts w:ascii="Arial" w:hAnsi="Arial" w:cs="Arial"/>
          <w:b/>
          <w:lang w:val="en-GB"/>
        </w:rPr>
        <w:t xml:space="preserve"> </w:t>
      </w:r>
      <w:r w:rsidRPr="00BB0A29">
        <w:rPr>
          <w:rFonts w:ascii="Arial" w:hAnsi="Arial" w:cs="Arial"/>
          <w:b/>
          <w:lang w:val="en-GB"/>
        </w:rPr>
        <w:t>AT 10h00: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1484"/>
        <w:gridCol w:w="7588"/>
      </w:tblGrid>
      <w:tr w:rsidR="00737495" w:rsidRPr="00BB0A29" w:rsidTr="000C7BF0">
        <w:tc>
          <w:tcPr>
            <w:tcW w:w="1242" w:type="dxa"/>
            <w:shd w:val="clear" w:color="auto" w:fill="8DB3E2" w:themeFill="text2" w:themeFillTint="66"/>
          </w:tcPr>
          <w:p w:rsidR="00737495" w:rsidRPr="00BB0A29" w:rsidRDefault="00737495" w:rsidP="000C7BF0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 xml:space="preserve">Roll No. 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:rsidR="00737495" w:rsidRPr="00BB0A29" w:rsidRDefault="00737495" w:rsidP="000C7BF0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 xml:space="preserve">Case No. </w:t>
            </w:r>
          </w:p>
        </w:tc>
        <w:tc>
          <w:tcPr>
            <w:tcW w:w="7588" w:type="dxa"/>
            <w:shd w:val="clear" w:color="auto" w:fill="8DB3E2" w:themeFill="text2" w:themeFillTint="66"/>
          </w:tcPr>
          <w:p w:rsidR="00737495" w:rsidRPr="00BB0A29" w:rsidRDefault="00737495" w:rsidP="000C7BF0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>Parties</w:t>
            </w:r>
          </w:p>
        </w:tc>
      </w:tr>
      <w:tr w:rsidR="00F9010A" w:rsidRPr="00BB0A29" w:rsidTr="000C7BF0">
        <w:tc>
          <w:tcPr>
            <w:tcW w:w="1242" w:type="dxa"/>
          </w:tcPr>
          <w:p w:rsidR="00F9010A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07</w:t>
            </w:r>
          </w:p>
        </w:tc>
        <w:tc>
          <w:tcPr>
            <w:tcW w:w="1484" w:type="dxa"/>
          </w:tcPr>
          <w:p w:rsidR="00F9010A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42041/2016</w:t>
            </w:r>
          </w:p>
        </w:tc>
        <w:tc>
          <w:tcPr>
            <w:tcW w:w="7588" w:type="dxa"/>
          </w:tcPr>
          <w:p w:rsidR="00F9010A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Netcare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Ltd </w:t>
            </w:r>
          </w:p>
          <w:p w:rsidR="00F9010A" w:rsidRPr="00BB0A29" w:rsidRDefault="00F9010A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B0A29">
              <w:rPr>
                <w:rFonts w:ascii="Arial" w:hAnsi="Arial" w:cs="Arial"/>
                <w:lang w:val="en-GB"/>
              </w:rPr>
              <w:t>Nicolaas</w:t>
            </w:r>
            <w:proofErr w:type="spellEnd"/>
            <w:r w:rsidRPr="00BB0A29">
              <w:rPr>
                <w:rFonts w:ascii="Arial" w:hAnsi="Arial" w:cs="Arial"/>
                <w:lang w:val="en-GB"/>
              </w:rPr>
              <w:t xml:space="preserve"> J. de </w:t>
            </w:r>
            <w:proofErr w:type="spellStart"/>
            <w:r w:rsidRPr="00BB0A29">
              <w:rPr>
                <w:rFonts w:ascii="Arial" w:hAnsi="Arial" w:cs="Arial"/>
                <w:lang w:val="en-GB"/>
              </w:rPr>
              <w:t>Jager</w:t>
            </w:r>
            <w:proofErr w:type="spellEnd"/>
          </w:p>
          <w:p w:rsidR="000C7BF0" w:rsidRPr="00BB0A29" w:rsidRDefault="000C7BF0" w:rsidP="000C7BF0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31D1A" w:rsidRPr="00BB0A29" w:rsidRDefault="00331D1A" w:rsidP="000C7BF0">
      <w:pPr>
        <w:spacing w:line="360" w:lineRule="auto"/>
        <w:jc w:val="both"/>
        <w:rPr>
          <w:rFonts w:ascii="Arial" w:hAnsi="Arial" w:cs="Arial"/>
          <w:lang w:val="en-GB"/>
        </w:rPr>
      </w:pPr>
    </w:p>
    <w:p w:rsidR="00BB0A29" w:rsidRPr="00BB0A29" w:rsidRDefault="00BB0A29" w:rsidP="00BB0A29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BB0A29">
        <w:rPr>
          <w:rFonts w:ascii="Arial" w:hAnsi="Arial" w:cs="Arial"/>
          <w:b/>
          <w:lang w:val="en-GB"/>
        </w:rPr>
        <w:t xml:space="preserve">ON </w:t>
      </w:r>
      <w:r>
        <w:rPr>
          <w:rFonts w:ascii="Arial" w:hAnsi="Arial" w:cs="Arial"/>
          <w:b/>
          <w:lang w:val="en-GB"/>
        </w:rPr>
        <w:t>WEDNESDAY</w:t>
      </w:r>
      <w:r w:rsidRPr="00BB0A29">
        <w:rPr>
          <w:rFonts w:ascii="Arial" w:hAnsi="Arial" w:cs="Arial"/>
          <w:b/>
          <w:lang w:val="en-GB"/>
        </w:rPr>
        <w:t xml:space="preserve"> 1</w:t>
      </w:r>
      <w:r>
        <w:rPr>
          <w:rFonts w:ascii="Arial" w:hAnsi="Arial" w:cs="Arial"/>
          <w:b/>
          <w:lang w:val="en-GB"/>
        </w:rPr>
        <w:t>1</w:t>
      </w:r>
      <w:r w:rsidRPr="00BB0A29">
        <w:rPr>
          <w:rFonts w:ascii="Arial" w:hAnsi="Arial" w:cs="Arial"/>
          <w:b/>
          <w:lang w:val="en-GB"/>
        </w:rPr>
        <w:t xml:space="preserve"> MARCH 2020 AT 10h00: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1484"/>
        <w:gridCol w:w="7588"/>
      </w:tblGrid>
      <w:tr w:rsidR="00BB0A29" w:rsidRPr="00BB0A29" w:rsidTr="00B738CD">
        <w:tc>
          <w:tcPr>
            <w:tcW w:w="1242" w:type="dxa"/>
            <w:shd w:val="clear" w:color="auto" w:fill="8DB3E2" w:themeFill="text2" w:themeFillTint="66"/>
          </w:tcPr>
          <w:p w:rsidR="00BB0A29" w:rsidRPr="00BB0A29" w:rsidRDefault="00BB0A29" w:rsidP="00B738CD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 xml:space="preserve">Roll No. 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:rsidR="00BB0A29" w:rsidRPr="00BB0A29" w:rsidRDefault="00BB0A29" w:rsidP="00B738CD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 xml:space="preserve">Case No. </w:t>
            </w:r>
          </w:p>
        </w:tc>
        <w:tc>
          <w:tcPr>
            <w:tcW w:w="7588" w:type="dxa"/>
            <w:shd w:val="clear" w:color="auto" w:fill="8DB3E2" w:themeFill="text2" w:themeFillTint="66"/>
          </w:tcPr>
          <w:p w:rsidR="00BB0A29" w:rsidRPr="00BB0A29" w:rsidRDefault="00BB0A29" w:rsidP="00B738CD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B0A29">
              <w:rPr>
                <w:rFonts w:ascii="Arial" w:hAnsi="Arial" w:cs="Arial"/>
                <w:b/>
                <w:lang w:val="en-GB"/>
              </w:rPr>
              <w:t>Parties</w:t>
            </w:r>
          </w:p>
        </w:tc>
      </w:tr>
      <w:tr w:rsidR="00BB0A29" w:rsidRPr="00BB0A29" w:rsidTr="00B738CD">
        <w:tc>
          <w:tcPr>
            <w:tcW w:w="1242" w:type="dxa"/>
          </w:tcPr>
          <w:p w:rsidR="00BB0A29" w:rsidRPr="00BB0A29" w:rsidRDefault="00BB0A29" w:rsidP="00B738CD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</w:t>
            </w:r>
          </w:p>
        </w:tc>
        <w:tc>
          <w:tcPr>
            <w:tcW w:w="1484" w:type="dxa"/>
          </w:tcPr>
          <w:p w:rsidR="00BB0A29" w:rsidRPr="00BB0A29" w:rsidRDefault="00495D4A" w:rsidP="00B738CD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8990/2015</w:t>
            </w:r>
          </w:p>
        </w:tc>
        <w:tc>
          <w:tcPr>
            <w:tcW w:w="7588" w:type="dxa"/>
          </w:tcPr>
          <w:p w:rsidR="00BB0A29" w:rsidRPr="00BB0A29" w:rsidRDefault="00495D4A" w:rsidP="00B738CD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David </w:t>
            </w:r>
            <w:proofErr w:type="spellStart"/>
            <w:r>
              <w:rPr>
                <w:rFonts w:ascii="Arial" w:hAnsi="Arial" w:cs="Arial"/>
                <w:lang w:val="en-GB"/>
              </w:rPr>
              <w:t>Vhuyatsha</w:t>
            </w:r>
            <w:proofErr w:type="spellEnd"/>
          </w:p>
          <w:p w:rsidR="00BB0A29" w:rsidRPr="00BB0A29" w:rsidRDefault="00BB0A29" w:rsidP="00B738CD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BB0A29">
              <w:rPr>
                <w:rFonts w:ascii="Arial" w:hAnsi="Arial" w:cs="Arial"/>
                <w:lang w:val="en-GB"/>
              </w:rPr>
              <w:t>v</w:t>
            </w:r>
          </w:p>
          <w:p w:rsidR="00BB0A29" w:rsidRPr="00BB0A29" w:rsidRDefault="00495D4A" w:rsidP="00B738CD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 Director of Public Prosecution</w:t>
            </w:r>
          </w:p>
          <w:p w:rsidR="00BB0A29" w:rsidRPr="00BB0A29" w:rsidRDefault="00BB0A29" w:rsidP="00B738CD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495D4A" w:rsidRPr="00BB0A29" w:rsidRDefault="00495D4A" w:rsidP="000C7BF0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B13CE1" w:rsidRPr="00BB0A29" w:rsidRDefault="007863A7" w:rsidP="000C7BF0">
      <w:pPr>
        <w:spacing w:line="360" w:lineRule="auto"/>
        <w:ind w:left="720"/>
        <w:jc w:val="center"/>
        <w:rPr>
          <w:rFonts w:ascii="Arial" w:hAnsi="Arial" w:cs="Arial"/>
          <w:b/>
          <w:lang w:val="en-GB"/>
        </w:rPr>
      </w:pPr>
      <w:r w:rsidRPr="00BB0A29">
        <w:rPr>
          <w:rFonts w:ascii="Arial" w:hAnsi="Arial" w:cs="Arial"/>
          <w:b/>
          <w:lang w:val="en-GB"/>
        </w:rPr>
        <w:t>- - -</w:t>
      </w:r>
    </w:p>
    <w:sectPr w:rsidR="00B13CE1" w:rsidRPr="00BB0A29" w:rsidSect="00D4703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FF" w:rsidRDefault="00133BFF" w:rsidP="00246F4E">
      <w:pPr>
        <w:spacing w:after="0" w:line="240" w:lineRule="auto"/>
      </w:pPr>
      <w:r>
        <w:separator/>
      </w:r>
    </w:p>
  </w:endnote>
  <w:endnote w:type="continuationSeparator" w:id="0">
    <w:p w:rsidR="00133BFF" w:rsidRDefault="00133BFF" w:rsidP="0024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13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849" w:rsidRDefault="00DF2849" w:rsidP="009A31E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4A">
          <w:rPr>
            <w:noProof/>
          </w:rPr>
          <w:t>1</w:t>
        </w:r>
        <w:r>
          <w:rPr>
            <w:noProof/>
          </w:rPr>
          <w:fldChar w:fldCharType="end"/>
        </w:r>
        <w:r w:rsidR="00E27DF0">
          <w:rPr>
            <w:noProof/>
          </w:rPr>
          <w:t xml:space="preserve"> of 2</w:t>
        </w:r>
      </w:p>
    </w:sdtContent>
  </w:sdt>
  <w:p w:rsidR="00DF2849" w:rsidRDefault="00DF2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FF" w:rsidRDefault="00133BFF" w:rsidP="00246F4E">
      <w:pPr>
        <w:spacing w:after="0" w:line="240" w:lineRule="auto"/>
      </w:pPr>
      <w:r>
        <w:separator/>
      </w:r>
    </w:p>
  </w:footnote>
  <w:footnote w:type="continuationSeparator" w:id="0">
    <w:p w:rsidR="00133BFF" w:rsidRDefault="00133BFF" w:rsidP="0024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B" w:rsidRDefault="00660DCB">
    <w:pPr>
      <w:pStyle w:val="Header"/>
      <w:jc w:val="right"/>
    </w:pPr>
  </w:p>
  <w:p w:rsidR="00660DCB" w:rsidRDefault="0066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94"/>
    <w:multiLevelType w:val="hybridMultilevel"/>
    <w:tmpl w:val="76F0580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0D45"/>
    <w:multiLevelType w:val="hybridMultilevel"/>
    <w:tmpl w:val="D772B6E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502"/>
    <w:multiLevelType w:val="hybridMultilevel"/>
    <w:tmpl w:val="ECCE40B4"/>
    <w:lvl w:ilvl="0" w:tplc="006C8C1E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97395"/>
    <w:multiLevelType w:val="hybridMultilevel"/>
    <w:tmpl w:val="8D569688"/>
    <w:lvl w:ilvl="0" w:tplc="224C34D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030E"/>
    <w:multiLevelType w:val="hybridMultilevel"/>
    <w:tmpl w:val="06BE216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5C9"/>
    <w:multiLevelType w:val="hybridMultilevel"/>
    <w:tmpl w:val="0DB2B054"/>
    <w:lvl w:ilvl="0" w:tplc="1CDEEDD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2491"/>
    <w:multiLevelType w:val="hybridMultilevel"/>
    <w:tmpl w:val="152C923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7179A"/>
    <w:multiLevelType w:val="hybridMultilevel"/>
    <w:tmpl w:val="6B0E57C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7F93"/>
    <w:multiLevelType w:val="hybridMultilevel"/>
    <w:tmpl w:val="EBA4981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7047"/>
    <w:multiLevelType w:val="hybridMultilevel"/>
    <w:tmpl w:val="98BCC87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E13"/>
    <w:multiLevelType w:val="hybridMultilevel"/>
    <w:tmpl w:val="8C70287E"/>
    <w:lvl w:ilvl="0" w:tplc="65A4BC3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8"/>
    <w:rsid w:val="00032C9A"/>
    <w:rsid w:val="0004523E"/>
    <w:rsid w:val="0008730E"/>
    <w:rsid w:val="000B4572"/>
    <w:rsid w:val="000C7BF0"/>
    <w:rsid w:val="000E2598"/>
    <w:rsid w:val="000F0F06"/>
    <w:rsid w:val="00101CA3"/>
    <w:rsid w:val="00110CD8"/>
    <w:rsid w:val="00130C16"/>
    <w:rsid w:val="00133BFF"/>
    <w:rsid w:val="00154B51"/>
    <w:rsid w:val="00154B5A"/>
    <w:rsid w:val="00164863"/>
    <w:rsid w:val="0016798B"/>
    <w:rsid w:val="00167B5C"/>
    <w:rsid w:val="0018556E"/>
    <w:rsid w:val="0019256E"/>
    <w:rsid w:val="001A70B4"/>
    <w:rsid w:val="001B020E"/>
    <w:rsid w:val="001B556D"/>
    <w:rsid w:val="001D3310"/>
    <w:rsid w:val="00202645"/>
    <w:rsid w:val="00220B22"/>
    <w:rsid w:val="00245052"/>
    <w:rsid w:val="00246F4E"/>
    <w:rsid w:val="0026119F"/>
    <w:rsid w:val="00262863"/>
    <w:rsid w:val="002763DD"/>
    <w:rsid w:val="00284C6B"/>
    <w:rsid w:val="00285C01"/>
    <w:rsid w:val="00296483"/>
    <w:rsid w:val="002E2007"/>
    <w:rsid w:val="002E5D1C"/>
    <w:rsid w:val="00331D1A"/>
    <w:rsid w:val="003624EB"/>
    <w:rsid w:val="0038004B"/>
    <w:rsid w:val="00385C9C"/>
    <w:rsid w:val="003C7916"/>
    <w:rsid w:val="003D143C"/>
    <w:rsid w:val="003D216F"/>
    <w:rsid w:val="003E72B2"/>
    <w:rsid w:val="003F1A4A"/>
    <w:rsid w:val="0040047F"/>
    <w:rsid w:val="00404614"/>
    <w:rsid w:val="00406122"/>
    <w:rsid w:val="004250DC"/>
    <w:rsid w:val="00446DF5"/>
    <w:rsid w:val="0047051B"/>
    <w:rsid w:val="00484907"/>
    <w:rsid w:val="00495D4A"/>
    <w:rsid w:val="004B529F"/>
    <w:rsid w:val="0050178E"/>
    <w:rsid w:val="00511FE3"/>
    <w:rsid w:val="005350D2"/>
    <w:rsid w:val="005579A5"/>
    <w:rsid w:val="005C34EA"/>
    <w:rsid w:val="005D0228"/>
    <w:rsid w:val="005E01ED"/>
    <w:rsid w:val="00607522"/>
    <w:rsid w:val="006101B9"/>
    <w:rsid w:val="006212C9"/>
    <w:rsid w:val="006411E7"/>
    <w:rsid w:val="00660DCB"/>
    <w:rsid w:val="00677D26"/>
    <w:rsid w:val="00695C26"/>
    <w:rsid w:val="006A1FAE"/>
    <w:rsid w:val="006F31FB"/>
    <w:rsid w:val="0072103E"/>
    <w:rsid w:val="00737495"/>
    <w:rsid w:val="00750503"/>
    <w:rsid w:val="00756C50"/>
    <w:rsid w:val="00757CE8"/>
    <w:rsid w:val="0076401F"/>
    <w:rsid w:val="00784E5B"/>
    <w:rsid w:val="007863A7"/>
    <w:rsid w:val="00792FC5"/>
    <w:rsid w:val="007A216A"/>
    <w:rsid w:val="007A60B0"/>
    <w:rsid w:val="007B7B70"/>
    <w:rsid w:val="007C0233"/>
    <w:rsid w:val="007E17CD"/>
    <w:rsid w:val="007E7E1C"/>
    <w:rsid w:val="007F2586"/>
    <w:rsid w:val="00826161"/>
    <w:rsid w:val="0083026D"/>
    <w:rsid w:val="00842CA2"/>
    <w:rsid w:val="00865776"/>
    <w:rsid w:val="008B1FC1"/>
    <w:rsid w:val="008B5043"/>
    <w:rsid w:val="008E5FD5"/>
    <w:rsid w:val="008F2DA5"/>
    <w:rsid w:val="009007F7"/>
    <w:rsid w:val="00920150"/>
    <w:rsid w:val="00941590"/>
    <w:rsid w:val="009464AB"/>
    <w:rsid w:val="00956072"/>
    <w:rsid w:val="0096648E"/>
    <w:rsid w:val="009A31E2"/>
    <w:rsid w:val="009A4ED0"/>
    <w:rsid w:val="009B0A3E"/>
    <w:rsid w:val="009B1072"/>
    <w:rsid w:val="009B1591"/>
    <w:rsid w:val="009C5FC0"/>
    <w:rsid w:val="009D0BFF"/>
    <w:rsid w:val="009D25B3"/>
    <w:rsid w:val="009E02C2"/>
    <w:rsid w:val="009E502C"/>
    <w:rsid w:val="00A24FAF"/>
    <w:rsid w:val="00A265A8"/>
    <w:rsid w:val="00A44A4C"/>
    <w:rsid w:val="00A4584A"/>
    <w:rsid w:val="00A63C88"/>
    <w:rsid w:val="00A856FC"/>
    <w:rsid w:val="00A936A9"/>
    <w:rsid w:val="00AB659E"/>
    <w:rsid w:val="00AB6D7F"/>
    <w:rsid w:val="00AB6FE9"/>
    <w:rsid w:val="00AD346A"/>
    <w:rsid w:val="00B02668"/>
    <w:rsid w:val="00B13CE1"/>
    <w:rsid w:val="00B145A6"/>
    <w:rsid w:val="00B20374"/>
    <w:rsid w:val="00B22462"/>
    <w:rsid w:val="00B32CF2"/>
    <w:rsid w:val="00B34264"/>
    <w:rsid w:val="00B36B8A"/>
    <w:rsid w:val="00B45112"/>
    <w:rsid w:val="00B56DDA"/>
    <w:rsid w:val="00B709CD"/>
    <w:rsid w:val="00B80D71"/>
    <w:rsid w:val="00B91F43"/>
    <w:rsid w:val="00BA7C8F"/>
    <w:rsid w:val="00BB0A29"/>
    <w:rsid w:val="00BB1FC4"/>
    <w:rsid w:val="00BC2C8D"/>
    <w:rsid w:val="00BF342A"/>
    <w:rsid w:val="00BF40D2"/>
    <w:rsid w:val="00C04349"/>
    <w:rsid w:val="00C15B46"/>
    <w:rsid w:val="00C16AA1"/>
    <w:rsid w:val="00C21E80"/>
    <w:rsid w:val="00C41FE9"/>
    <w:rsid w:val="00C652E0"/>
    <w:rsid w:val="00C66FAA"/>
    <w:rsid w:val="00C8216A"/>
    <w:rsid w:val="00C824F2"/>
    <w:rsid w:val="00CB26F4"/>
    <w:rsid w:val="00CD3C3E"/>
    <w:rsid w:val="00CF762F"/>
    <w:rsid w:val="00D3380A"/>
    <w:rsid w:val="00D35829"/>
    <w:rsid w:val="00D3670A"/>
    <w:rsid w:val="00D4107E"/>
    <w:rsid w:val="00D4703E"/>
    <w:rsid w:val="00D51358"/>
    <w:rsid w:val="00DD733E"/>
    <w:rsid w:val="00DE4B64"/>
    <w:rsid w:val="00DF2849"/>
    <w:rsid w:val="00E27DF0"/>
    <w:rsid w:val="00E30CF5"/>
    <w:rsid w:val="00E37C47"/>
    <w:rsid w:val="00E4619C"/>
    <w:rsid w:val="00E6610F"/>
    <w:rsid w:val="00E76D62"/>
    <w:rsid w:val="00E772D0"/>
    <w:rsid w:val="00E812D1"/>
    <w:rsid w:val="00E842BE"/>
    <w:rsid w:val="00EA330A"/>
    <w:rsid w:val="00EB5A81"/>
    <w:rsid w:val="00EB5E78"/>
    <w:rsid w:val="00ED4EA3"/>
    <w:rsid w:val="00ED6455"/>
    <w:rsid w:val="00F16556"/>
    <w:rsid w:val="00F2019E"/>
    <w:rsid w:val="00F2077D"/>
    <w:rsid w:val="00F26E7F"/>
    <w:rsid w:val="00F273AD"/>
    <w:rsid w:val="00F542AB"/>
    <w:rsid w:val="00F6230A"/>
    <w:rsid w:val="00F646F1"/>
    <w:rsid w:val="00F9010A"/>
    <w:rsid w:val="00F922D0"/>
    <w:rsid w:val="00FA2316"/>
    <w:rsid w:val="00FA4180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4E"/>
  </w:style>
  <w:style w:type="paragraph" w:styleId="Footer">
    <w:name w:val="footer"/>
    <w:basedOn w:val="Normal"/>
    <w:link w:val="FooterChar"/>
    <w:uiPriority w:val="99"/>
    <w:unhideWhenUsed/>
    <w:rsid w:val="0024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4E"/>
  </w:style>
  <w:style w:type="paragraph" w:styleId="ListParagraph">
    <w:name w:val="List Paragraph"/>
    <w:basedOn w:val="Normal"/>
    <w:uiPriority w:val="34"/>
    <w:qFormat/>
    <w:rsid w:val="00946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4E"/>
  </w:style>
  <w:style w:type="paragraph" w:styleId="Footer">
    <w:name w:val="footer"/>
    <w:basedOn w:val="Normal"/>
    <w:link w:val="FooterChar"/>
    <w:uiPriority w:val="99"/>
    <w:unhideWhenUsed/>
    <w:rsid w:val="0024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4E"/>
  </w:style>
  <w:style w:type="paragraph" w:styleId="ListParagraph">
    <w:name w:val="List Paragraph"/>
    <w:basedOn w:val="Normal"/>
    <w:uiPriority w:val="34"/>
    <w:qFormat/>
    <w:rsid w:val="00946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jansen@judiciary.org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jansen@judiciary.org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FE09-1EA8-4936-9BE1-8B7A9717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zjansen</dc:creator>
  <cp:lastModifiedBy>Zonika Jansen</cp:lastModifiedBy>
  <cp:revision>3</cp:revision>
  <cp:lastPrinted>2020-03-05T11:44:00Z</cp:lastPrinted>
  <dcterms:created xsi:type="dcterms:W3CDTF">2020-03-04T08:59:00Z</dcterms:created>
  <dcterms:modified xsi:type="dcterms:W3CDTF">2020-03-05T11:44:00Z</dcterms:modified>
</cp:coreProperties>
</file>